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01A6" w14:textId="77777777" w:rsidR="00514491" w:rsidRPr="0006772A" w:rsidRDefault="00514491" w:rsidP="00514491">
      <w:pPr>
        <w:pStyle w:val="Ttulo1"/>
        <w:jc w:val="center"/>
        <w:rPr>
          <w:rFonts w:ascii="Arial" w:hAnsi="Arial" w:cs="Arial"/>
          <w:sz w:val="22"/>
          <w:szCs w:val="22"/>
        </w:rPr>
      </w:pPr>
      <w:bookmarkStart w:id="0" w:name="_Toc194932685"/>
      <w:r w:rsidRPr="0006772A">
        <w:rPr>
          <w:rFonts w:ascii="Arial" w:hAnsi="Arial" w:cs="Arial"/>
          <w:sz w:val="22"/>
          <w:szCs w:val="22"/>
        </w:rPr>
        <w:t xml:space="preserve">ANEXO </w:t>
      </w:r>
      <w:proofErr w:type="spellStart"/>
      <w:r w:rsidRPr="0006772A">
        <w:rPr>
          <w:rFonts w:ascii="Arial" w:hAnsi="Arial" w:cs="Arial"/>
          <w:sz w:val="22"/>
          <w:szCs w:val="22"/>
        </w:rPr>
        <w:t>N°</w:t>
      </w:r>
      <w:proofErr w:type="spellEnd"/>
      <w:r w:rsidRPr="0006772A">
        <w:rPr>
          <w:rFonts w:ascii="Arial" w:hAnsi="Arial" w:cs="Arial"/>
          <w:sz w:val="22"/>
          <w:szCs w:val="22"/>
        </w:rPr>
        <w:t xml:space="preserve"> </w:t>
      </w:r>
      <w:r>
        <w:rPr>
          <w:rFonts w:ascii="Arial" w:hAnsi="Arial" w:cs="Arial"/>
          <w:sz w:val="22"/>
          <w:szCs w:val="22"/>
        </w:rPr>
        <w:t>-- 06</w:t>
      </w:r>
      <w:r w:rsidRPr="0006772A">
        <w:rPr>
          <w:rFonts w:ascii="Arial" w:hAnsi="Arial" w:cs="Arial"/>
          <w:sz w:val="22"/>
          <w:szCs w:val="22"/>
        </w:rPr>
        <w:br/>
        <w:t>CONSIDERACIONES PARA VISA Y TRÁMITES MIGRATORIOS</w:t>
      </w:r>
      <w:bookmarkEnd w:id="0"/>
    </w:p>
    <w:p w14:paraId="0927FD86" w14:textId="77777777" w:rsidR="00514491" w:rsidRPr="0006772A" w:rsidRDefault="00514491" w:rsidP="00514491">
      <w:pPr>
        <w:pBdr>
          <w:top w:val="nil"/>
          <w:left w:val="nil"/>
          <w:bottom w:val="nil"/>
          <w:right w:val="nil"/>
          <w:between w:val="nil"/>
        </w:pBdr>
        <w:ind w:left="426"/>
        <w:jc w:val="both"/>
        <w:rPr>
          <w:rFonts w:ascii="Arial" w:hAnsi="Arial" w:cs="Arial"/>
          <w:u w:val="single"/>
        </w:rPr>
      </w:pPr>
    </w:p>
    <w:p w14:paraId="5E35A457" w14:textId="77777777" w:rsidR="00514491" w:rsidRPr="0006772A" w:rsidRDefault="00514491" w:rsidP="00514491">
      <w:pPr>
        <w:pBdr>
          <w:top w:val="nil"/>
          <w:left w:val="nil"/>
          <w:bottom w:val="nil"/>
          <w:right w:val="nil"/>
          <w:between w:val="nil"/>
        </w:pBdr>
        <w:ind w:left="426"/>
        <w:jc w:val="both"/>
        <w:rPr>
          <w:rFonts w:ascii="Arial" w:hAnsi="Arial" w:cs="Arial"/>
          <w:u w:val="single"/>
        </w:rPr>
      </w:pPr>
    </w:p>
    <w:p w14:paraId="4AEE9351" w14:textId="77777777" w:rsidR="00514491" w:rsidRPr="0006772A" w:rsidRDefault="00514491" w:rsidP="00514491">
      <w:pPr>
        <w:numPr>
          <w:ilvl w:val="2"/>
          <w:numId w:val="2"/>
        </w:numPr>
        <w:ind w:left="426"/>
        <w:jc w:val="both"/>
        <w:rPr>
          <w:rFonts w:ascii="Arial" w:hAnsi="Arial" w:cs="Arial"/>
        </w:rPr>
      </w:pPr>
      <w:r w:rsidRPr="0006772A">
        <w:rPr>
          <w:rFonts w:ascii="Arial" w:hAnsi="Arial" w:cs="Arial"/>
          <w:b/>
        </w:rPr>
        <w:t>Chile</w:t>
      </w:r>
      <w:r w:rsidRPr="0006772A">
        <w:rPr>
          <w:rFonts w:ascii="Arial" w:hAnsi="Arial" w:cs="Arial"/>
        </w:rPr>
        <w:t xml:space="preserve">.  Los </w:t>
      </w:r>
      <w:r>
        <w:rPr>
          <w:rFonts w:ascii="Arial" w:hAnsi="Arial" w:cs="Arial"/>
        </w:rPr>
        <w:t xml:space="preserve">y las </w:t>
      </w:r>
      <w:r w:rsidRPr="0006772A">
        <w:rPr>
          <w:rFonts w:ascii="Arial" w:hAnsi="Arial" w:cs="Arial"/>
        </w:rPr>
        <w:t>becarios</w:t>
      </w:r>
      <w:r>
        <w:rPr>
          <w:rFonts w:ascii="Arial" w:hAnsi="Arial" w:cs="Arial"/>
        </w:rPr>
        <w:t xml:space="preserve"> (as)</w:t>
      </w:r>
      <w:r w:rsidRPr="0006772A">
        <w:rPr>
          <w:rFonts w:ascii="Arial" w:hAnsi="Arial" w:cs="Arial"/>
        </w:rPr>
        <w:t xml:space="preserve"> </w:t>
      </w:r>
      <w:r>
        <w:rPr>
          <w:rFonts w:ascii="Arial" w:hAnsi="Arial" w:cs="Arial"/>
        </w:rPr>
        <w:t>deben</w:t>
      </w:r>
      <w:r w:rsidRPr="0006772A">
        <w:rPr>
          <w:rFonts w:ascii="Arial" w:hAnsi="Arial" w:cs="Arial"/>
        </w:rPr>
        <w:t xml:space="preserve"> viajar con Pasaporte vigente. En el caso de estudiantes pregrado y pasantías académicas de hasta y/ o menos 180 días, podrán ingresar mediante la categoría migratoria de “</w:t>
      </w:r>
      <w:r w:rsidRPr="0006772A">
        <w:rPr>
          <w:rFonts w:ascii="Arial" w:hAnsi="Arial" w:cs="Arial"/>
          <w:b/>
        </w:rPr>
        <w:t>permiso permanencia transitorio y con fines de estudios</w:t>
      </w:r>
      <w:r w:rsidRPr="0006772A">
        <w:rPr>
          <w:rFonts w:ascii="Arial" w:hAnsi="Arial" w:cs="Arial"/>
        </w:rPr>
        <w:t>”, y que permite la permanencia por 90 días, prorrogables por otros 90 días.  La renovación se realiza a través de la plataforma virtual del Servicio Nacional de Migraciones, https:// tramites.extranjeria.gob.cl/Renovación Permiso Permanencia Transitoria.  El trámite debe ser realizado por la persona titular de la beca, con la debida anticipación, de al menos 1 mes previo al término de sus primeros 90 días. El costo del trámite, de US $100 o su equivalente en pesos chilenos, y que se debe pagar en línea, será reembolsado por AGCID a cada titular de la beca.</w:t>
      </w:r>
    </w:p>
    <w:p w14:paraId="3D9671FA" w14:textId="77777777" w:rsidR="00514491" w:rsidRPr="0006772A" w:rsidRDefault="00514491" w:rsidP="00514491">
      <w:pPr>
        <w:ind w:left="426"/>
        <w:jc w:val="both"/>
        <w:rPr>
          <w:rFonts w:ascii="Arial" w:hAnsi="Arial" w:cs="Arial"/>
        </w:rPr>
      </w:pPr>
    </w:p>
    <w:p w14:paraId="4F9F5EB5" w14:textId="77777777" w:rsidR="00514491" w:rsidRPr="0006772A" w:rsidRDefault="00514491" w:rsidP="00514491">
      <w:pPr>
        <w:ind w:left="426"/>
        <w:jc w:val="both"/>
        <w:rPr>
          <w:rFonts w:ascii="Arial" w:hAnsi="Arial" w:cs="Arial"/>
        </w:rPr>
      </w:pPr>
      <w:r w:rsidRPr="0006772A">
        <w:rPr>
          <w:rFonts w:ascii="Arial" w:hAnsi="Arial" w:cs="Arial"/>
        </w:rPr>
        <w:t xml:space="preserve">En el caso de pasantías académicas, que superen los 180 días, los profesionales deben tramitar su visa, desde su país de origen, en la plataforma </w:t>
      </w:r>
      <w:hyperlink r:id="rId5">
        <w:r w:rsidRPr="0006772A">
          <w:rPr>
            <w:rFonts w:ascii="Arial" w:hAnsi="Arial" w:cs="Arial"/>
            <w:color w:val="1155CC"/>
            <w:u w:val="single"/>
          </w:rPr>
          <w:t>https:// trámites.extranjería.gob.cl</w:t>
        </w:r>
      </w:hyperlink>
      <w:r w:rsidRPr="0006772A">
        <w:rPr>
          <w:rFonts w:ascii="Arial" w:hAnsi="Arial" w:cs="Arial"/>
        </w:rPr>
        <w:t xml:space="preserve">. </w:t>
      </w:r>
    </w:p>
    <w:p w14:paraId="30012C42" w14:textId="77777777" w:rsidR="00514491" w:rsidRPr="0006772A" w:rsidRDefault="00514491" w:rsidP="00514491">
      <w:pPr>
        <w:ind w:left="426"/>
        <w:rPr>
          <w:rFonts w:ascii="Arial" w:hAnsi="Arial" w:cs="Arial"/>
        </w:rPr>
      </w:pPr>
    </w:p>
    <w:p w14:paraId="380BA609" w14:textId="77777777" w:rsidR="00514491" w:rsidRPr="0006772A" w:rsidRDefault="00514491" w:rsidP="00514491">
      <w:pPr>
        <w:numPr>
          <w:ilvl w:val="2"/>
          <w:numId w:val="2"/>
        </w:numPr>
        <w:ind w:left="426"/>
        <w:jc w:val="both"/>
        <w:rPr>
          <w:rFonts w:ascii="Arial" w:hAnsi="Arial" w:cs="Arial"/>
        </w:rPr>
      </w:pPr>
      <w:r w:rsidRPr="0006772A">
        <w:rPr>
          <w:rFonts w:ascii="Arial" w:hAnsi="Arial" w:cs="Arial"/>
          <w:b/>
        </w:rPr>
        <w:t xml:space="preserve">Colombia. </w:t>
      </w:r>
      <w:r w:rsidRPr="0006772A">
        <w:rPr>
          <w:rFonts w:ascii="Arial" w:hAnsi="Arial" w:cs="Arial"/>
        </w:rPr>
        <w:t>ICETEX, como punto focal, otorgará una carta para adelantar la solicitud de visa de cortesía. La misma deberá solicitarse al Consulado de Colombia en cada uno de los países miembros de la Alianza del Pacífico, sin excepción. Este estatus impide la realización de actividad laboral alguna. Para estancias mayores a 90 días, los becarios deberán tramitar la Cédula de Extranjería en las oficinas de Migración Colombia durante los primeros 15 días siguientes contados a partir de su ingreso al país. Este trámite solo se podrá realizar con la visa estampada en el pasaporte. Cada becario es responsable de legalizar su situación migratoria y de cubrir los costos derivados de la misma.</w:t>
      </w:r>
    </w:p>
    <w:p w14:paraId="31ED7ABE" w14:textId="77777777" w:rsidR="00514491" w:rsidRPr="0006772A" w:rsidRDefault="00514491" w:rsidP="00514491">
      <w:pPr>
        <w:ind w:left="426"/>
        <w:rPr>
          <w:rFonts w:ascii="Arial" w:hAnsi="Arial" w:cs="Arial"/>
        </w:rPr>
      </w:pPr>
    </w:p>
    <w:p w14:paraId="7E8A8BD5" w14:textId="77777777" w:rsidR="00514491" w:rsidRPr="00B24E20" w:rsidRDefault="00514491" w:rsidP="00514491">
      <w:pPr>
        <w:numPr>
          <w:ilvl w:val="2"/>
          <w:numId w:val="2"/>
        </w:numPr>
        <w:ind w:left="426"/>
        <w:jc w:val="both"/>
        <w:rPr>
          <w:rFonts w:ascii="Arial" w:hAnsi="Arial" w:cs="Arial"/>
        </w:rPr>
      </w:pPr>
      <w:r w:rsidRPr="00B24E20">
        <w:rPr>
          <w:rFonts w:ascii="Arial" w:hAnsi="Arial" w:cs="Arial"/>
          <w:b/>
        </w:rPr>
        <w:t>México</w:t>
      </w:r>
      <w:r w:rsidRPr="00B24E20">
        <w:rPr>
          <w:rFonts w:ascii="Arial" w:hAnsi="Arial" w:cs="Arial"/>
        </w:rPr>
        <w:t>. Independientemente del tiempo de estancia en México, una vez que el postulante haya sido seleccionado por el punto focal mexicano (AMEXCID) para realizar su estancia de movilidad estudiantil o académica, dicha Agencia enviará las solicitudes de trámite de emisión de Visa Temporal Estudiante a la sección consular que le corresponda, a efecto de que los becarios acudan a realizar la solicitud de visado presentando su pasaporte con vigencia mínima de seis meses y copia de la carta  de aceptación de la institución educativa donde realizará sus estudios. Como beneficio para obtención del visado, se exenta del costo a los becarios de la Alianza del Pacífico.</w:t>
      </w:r>
    </w:p>
    <w:p w14:paraId="24236F27" w14:textId="77777777" w:rsidR="00514491" w:rsidRPr="0006772A" w:rsidRDefault="00514491" w:rsidP="00514491">
      <w:pPr>
        <w:ind w:left="426"/>
        <w:rPr>
          <w:rFonts w:ascii="Arial" w:hAnsi="Arial" w:cs="Arial"/>
        </w:rPr>
      </w:pPr>
    </w:p>
    <w:p w14:paraId="7E6BFFE9" w14:textId="77777777" w:rsidR="00514491" w:rsidRDefault="00514491" w:rsidP="00514491">
      <w:pPr>
        <w:numPr>
          <w:ilvl w:val="0"/>
          <w:numId w:val="1"/>
        </w:numPr>
        <w:tabs>
          <w:tab w:val="left" w:pos="1077"/>
          <w:tab w:val="left" w:pos="1078"/>
        </w:tabs>
        <w:ind w:left="426"/>
        <w:jc w:val="both"/>
        <w:rPr>
          <w:rFonts w:ascii="Arial" w:hAnsi="Arial" w:cs="Arial"/>
        </w:rPr>
      </w:pPr>
      <w:r w:rsidRPr="00F5005A">
        <w:rPr>
          <w:rFonts w:ascii="Arial" w:hAnsi="Arial" w:cs="Arial"/>
          <w:b/>
        </w:rPr>
        <w:t>Perú</w:t>
      </w:r>
      <w:r w:rsidRPr="00F5005A">
        <w:rPr>
          <w:rFonts w:ascii="Arial" w:hAnsi="Arial" w:cs="Arial"/>
        </w:rPr>
        <w:t xml:space="preserve">. En el marco de la Plataforma de Movilidad Estudiantil y Académica de la Alianza del </w:t>
      </w:r>
      <w:r w:rsidRPr="00BD7DFB">
        <w:rPr>
          <w:rFonts w:ascii="Arial" w:hAnsi="Arial" w:cs="Arial"/>
        </w:rPr>
        <w:t xml:space="preserve">Pacífico, el Ministerio de Relaciones Exteriores, a través de la Dirección de Política Consular de la Dirección General de Comunidades Peruanas en el Exterior y Asuntos Consulares, otorgará a los estudiantes becados la Calidad Migratoria Intercambio Temporal o la Calidad Migratoria Intercambio Residente, atendiendo a la duración del programa académico. Para </w:t>
      </w:r>
      <w:r w:rsidRPr="00F5005A">
        <w:rPr>
          <w:rFonts w:ascii="Arial" w:hAnsi="Arial" w:cs="Arial"/>
        </w:rPr>
        <w:t>tales fines</w:t>
      </w:r>
      <w:r w:rsidRPr="00BD7DFB">
        <w:rPr>
          <w:rFonts w:ascii="Arial" w:hAnsi="Arial" w:cs="Arial"/>
        </w:rPr>
        <w:t xml:space="preserve">, el Programa Nacional de Becas y Crédito Educativo (PRONABEC) deberá notificar a la Dirección General de Comunidades Peruanas en el Exterior y Asuntos Consulares la lista oficial de los estudiantes becados, indicando el nombre y modalidad del programa, la duración </w:t>
      </w:r>
      <w:proofErr w:type="gramStart"/>
      <w:r w:rsidRPr="00BD7DFB">
        <w:rPr>
          <w:rFonts w:ascii="Arial" w:hAnsi="Arial" w:cs="Arial"/>
        </w:rPr>
        <w:t>del mismo</w:t>
      </w:r>
      <w:proofErr w:type="gramEnd"/>
      <w:r w:rsidRPr="00BD7DFB">
        <w:rPr>
          <w:rFonts w:ascii="Arial" w:hAnsi="Arial" w:cs="Arial"/>
        </w:rPr>
        <w:t xml:space="preserve">, el país de origen, el número de expediente de solicitud, la institución académica y la sede en la que realizará el intercambio en el Perú, además de especificar el programa de estudios. </w:t>
      </w:r>
    </w:p>
    <w:p w14:paraId="10457832" w14:textId="77777777" w:rsidR="00514491" w:rsidRDefault="00514491" w:rsidP="00514491">
      <w:pPr>
        <w:tabs>
          <w:tab w:val="left" w:pos="1077"/>
          <w:tab w:val="left" w:pos="1078"/>
        </w:tabs>
        <w:ind w:left="426"/>
        <w:jc w:val="both"/>
        <w:rPr>
          <w:rFonts w:ascii="Arial" w:hAnsi="Arial" w:cs="Arial"/>
        </w:rPr>
      </w:pPr>
    </w:p>
    <w:p w14:paraId="5420D507" w14:textId="77777777" w:rsidR="00514491" w:rsidRPr="00F5005A" w:rsidRDefault="00514491" w:rsidP="00514491">
      <w:pPr>
        <w:tabs>
          <w:tab w:val="left" w:pos="1077"/>
          <w:tab w:val="left" w:pos="1078"/>
        </w:tabs>
        <w:ind w:left="426"/>
        <w:jc w:val="both"/>
        <w:rPr>
          <w:rFonts w:ascii="Arial" w:hAnsi="Arial" w:cs="Arial"/>
        </w:rPr>
      </w:pPr>
      <w:r w:rsidRPr="00F5005A">
        <w:rPr>
          <w:rFonts w:ascii="Arial" w:hAnsi="Arial" w:cs="Arial"/>
        </w:rPr>
        <w:t xml:space="preserve">La universidad peruana que recibirá al becario deberá enviar, con la debida antelación, a la Dirección de Política Consular de la Dirección General de Comunidades Peruanas en el Exterior y Asuntos Consulares del Ministerio de Relaciones Exteriores la carta de aceptación y copia del pasaporte del becario, solicitando la aprobación y emisión de la visa de intercambio que corresponda, además de señalar la Oficina Consular donde esta será tramitada. </w:t>
      </w:r>
    </w:p>
    <w:p w14:paraId="0A995699" w14:textId="77777777" w:rsidR="00514491" w:rsidRDefault="00514491" w:rsidP="00514491">
      <w:pPr>
        <w:tabs>
          <w:tab w:val="left" w:pos="1077"/>
          <w:tab w:val="left" w:pos="1078"/>
        </w:tabs>
        <w:ind w:left="426"/>
        <w:jc w:val="both"/>
        <w:rPr>
          <w:rFonts w:ascii="Arial" w:hAnsi="Arial" w:cs="Arial"/>
        </w:rPr>
      </w:pPr>
    </w:p>
    <w:p w14:paraId="379BD205" w14:textId="77777777" w:rsidR="00514491" w:rsidRDefault="00514491" w:rsidP="00514491">
      <w:pPr>
        <w:tabs>
          <w:tab w:val="left" w:pos="1077"/>
          <w:tab w:val="left" w:pos="1078"/>
        </w:tabs>
        <w:ind w:left="426"/>
        <w:jc w:val="both"/>
        <w:rPr>
          <w:rFonts w:ascii="Arial" w:hAnsi="Arial" w:cs="Arial"/>
        </w:rPr>
      </w:pPr>
      <w:r w:rsidRPr="00BD7DFB">
        <w:rPr>
          <w:rFonts w:ascii="Arial" w:hAnsi="Arial" w:cs="Arial"/>
        </w:rPr>
        <w:t>La visa bajo la referida calidad migratoria será entregada al becario en la Oficina Consular indicada en la Carta de Solicitud que presente la universidad peruana. El becario requiere únicamente presentar a la Oficina Consular su pasaporte, el formulario de solicitud de visa, debidamente completado, y una fotografía. Los becarios deberán presentarse personalmente en las oficinas del Punto Focal del país que otorga la beca para suscribir el convenio que materializa (formaliza) la beca, y entregar toda la documentación original que se requiera. En el caso de Colombia se aceptará el envío de los documentos f</w:t>
      </w:r>
      <w:r>
        <w:rPr>
          <w:rFonts w:ascii="Arial" w:hAnsi="Arial" w:cs="Arial"/>
        </w:rPr>
        <w:t>irmados por correo electrónico.</w:t>
      </w:r>
    </w:p>
    <w:p w14:paraId="6FD4EA9F" w14:textId="77777777" w:rsidR="00514491" w:rsidRPr="0006772A" w:rsidRDefault="00514491" w:rsidP="00514491">
      <w:pPr>
        <w:tabs>
          <w:tab w:val="left" w:pos="1077"/>
          <w:tab w:val="left" w:pos="1078"/>
        </w:tabs>
        <w:ind w:left="426"/>
        <w:jc w:val="both"/>
        <w:rPr>
          <w:rFonts w:ascii="Arial" w:hAnsi="Arial" w:cs="Arial"/>
        </w:rPr>
      </w:pPr>
    </w:p>
    <w:p w14:paraId="5639C9AD" w14:textId="77777777" w:rsidR="00514491" w:rsidRPr="0006772A" w:rsidRDefault="00514491" w:rsidP="00514491">
      <w:pPr>
        <w:jc w:val="both"/>
        <w:rPr>
          <w:rFonts w:ascii="Arial" w:hAnsi="Arial" w:cs="Arial"/>
          <w:b/>
        </w:rPr>
      </w:pPr>
    </w:p>
    <w:p w14:paraId="01FACBB1" w14:textId="77777777" w:rsidR="00514491" w:rsidRPr="0006772A" w:rsidRDefault="00514491" w:rsidP="00514491">
      <w:pPr>
        <w:jc w:val="both"/>
        <w:rPr>
          <w:rFonts w:ascii="Arial" w:hAnsi="Arial" w:cs="Arial"/>
          <w:b/>
        </w:rPr>
      </w:pPr>
      <w:r w:rsidRPr="0006772A">
        <w:rPr>
          <w:rFonts w:ascii="Arial" w:hAnsi="Arial" w:cs="Arial"/>
          <w:b/>
        </w:rPr>
        <w:t>Nota: Los asuntos no previstos en esta Convocatoria serán resueltos por los Puntos Focales de la Plataforma de Movilidad Estudiantil y Académica de la Alianza del Pacífico.</w:t>
      </w:r>
    </w:p>
    <w:p w14:paraId="0D64F09D" w14:textId="77777777" w:rsidR="00514491" w:rsidRPr="0006772A" w:rsidRDefault="00514491" w:rsidP="00514491">
      <w:pPr>
        <w:pBdr>
          <w:top w:val="nil"/>
          <w:left w:val="nil"/>
          <w:bottom w:val="nil"/>
          <w:right w:val="nil"/>
          <w:between w:val="nil"/>
        </w:pBdr>
        <w:jc w:val="both"/>
        <w:rPr>
          <w:rFonts w:ascii="Arial" w:hAnsi="Arial" w:cs="Arial"/>
          <w:b/>
        </w:rPr>
      </w:pPr>
    </w:p>
    <w:p w14:paraId="5615931E" w14:textId="746F6A10" w:rsidR="00514491" w:rsidRDefault="00514491" w:rsidP="00514491">
      <w:r w:rsidRPr="0006772A">
        <w:rPr>
          <w:rFonts w:ascii="Arial" w:hAnsi="Arial" w:cs="Arial"/>
          <w:b/>
        </w:rPr>
        <w:t>Es necesario, en el caso de Colombia y México, que las Visas sean tramitadas previo al viaje al país de la movilidad. Es importante que el candidato seleccionado cuente con su carta original de aceptación para la solicitud de visa.</w:t>
      </w:r>
    </w:p>
    <w:sectPr w:rsidR="005144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09C4"/>
    <w:multiLevelType w:val="multilevel"/>
    <w:tmpl w:val="B422F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6F4C36"/>
    <w:multiLevelType w:val="multilevel"/>
    <w:tmpl w:val="D52A5A1C"/>
    <w:lvl w:ilvl="0">
      <w:start w:val="1"/>
      <w:numFmt w:val="decimal"/>
      <w:lvlText w:val="%1."/>
      <w:lvlJc w:val="left"/>
      <w:pPr>
        <w:ind w:left="820" w:hanging="360"/>
      </w:pPr>
      <w:rPr>
        <w:rFonts w:ascii="Times New Roman" w:eastAsia="Times New Roman" w:hAnsi="Times New Roman" w:cs="Times New Roman"/>
        <w:b/>
        <w:sz w:val="24"/>
        <w:szCs w:val="24"/>
      </w:rPr>
    </w:lvl>
    <w:lvl w:ilvl="1">
      <w:start w:val="1"/>
      <w:numFmt w:val="upperRoman"/>
      <w:lvlText w:val="%2."/>
      <w:lvlJc w:val="left"/>
      <w:pPr>
        <w:ind w:left="1077" w:hanging="514"/>
      </w:pPr>
      <w:rPr>
        <w:rFonts w:ascii="Times New Roman" w:eastAsia="Times New Roman" w:hAnsi="Times New Roman" w:cs="Times New Roman"/>
        <w:b/>
        <w:color w:val="006EC0"/>
        <w:sz w:val="24"/>
        <w:szCs w:val="24"/>
      </w:rPr>
    </w:lvl>
    <w:lvl w:ilvl="2">
      <w:numFmt w:val="bullet"/>
      <w:lvlText w:val="●"/>
      <w:lvlJc w:val="left"/>
      <w:pPr>
        <w:ind w:left="1077" w:hanging="360"/>
      </w:pPr>
      <w:rPr>
        <w:rFonts w:ascii="Noto Sans Symbols" w:eastAsia="Noto Sans Symbols" w:hAnsi="Noto Sans Symbols" w:cs="Noto Sans Symbols"/>
        <w:sz w:val="24"/>
        <w:szCs w:val="24"/>
      </w:rPr>
    </w:lvl>
    <w:lvl w:ilvl="3">
      <w:numFmt w:val="bullet"/>
      <w:lvlText w:val="•"/>
      <w:lvlJc w:val="left"/>
      <w:pPr>
        <w:ind w:left="3120" w:hanging="360"/>
      </w:pPr>
    </w:lvl>
    <w:lvl w:ilvl="4">
      <w:numFmt w:val="bullet"/>
      <w:lvlText w:val="•"/>
      <w:lvlJc w:val="left"/>
      <w:pPr>
        <w:ind w:left="4140" w:hanging="360"/>
      </w:pPr>
    </w:lvl>
    <w:lvl w:ilvl="5">
      <w:numFmt w:val="bullet"/>
      <w:lvlText w:val="•"/>
      <w:lvlJc w:val="left"/>
      <w:pPr>
        <w:ind w:left="5160" w:hanging="360"/>
      </w:pPr>
    </w:lvl>
    <w:lvl w:ilvl="6">
      <w:numFmt w:val="bullet"/>
      <w:lvlText w:val="•"/>
      <w:lvlJc w:val="left"/>
      <w:pPr>
        <w:ind w:left="6180" w:hanging="360"/>
      </w:pPr>
    </w:lvl>
    <w:lvl w:ilvl="7">
      <w:numFmt w:val="bullet"/>
      <w:lvlText w:val="•"/>
      <w:lvlJc w:val="left"/>
      <w:pPr>
        <w:ind w:left="7200" w:hanging="360"/>
      </w:pPr>
    </w:lvl>
    <w:lvl w:ilvl="8">
      <w:numFmt w:val="bullet"/>
      <w:lvlText w:val="•"/>
      <w:lvlJc w:val="left"/>
      <w:pPr>
        <w:ind w:left="8220" w:hanging="360"/>
      </w:pPr>
    </w:lvl>
  </w:abstractNum>
  <w:num w:numId="1" w16cid:durableId="2070495522">
    <w:abstractNumId w:val="0"/>
  </w:num>
  <w:num w:numId="2" w16cid:durableId="413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91"/>
    <w:rsid w:val="00514491"/>
    <w:rsid w:val="007E1F69"/>
    <w:rsid w:val="00A949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9F20"/>
  <w15:chartTrackingRefBased/>
  <w15:docId w15:val="{0208BE8B-9300-4B31-8EBD-BF59D6ED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491"/>
    <w:pPr>
      <w:widowControl w:val="0"/>
      <w:spacing w:after="0" w:line="240" w:lineRule="auto"/>
    </w:pPr>
    <w:rPr>
      <w:rFonts w:ascii="Times New Roman" w:eastAsia="Times New Roman" w:hAnsi="Times New Roman" w:cs="Times New Roman"/>
      <w:kern w:val="0"/>
      <w:sz w:val="22"/>
      <w:szCs w:val="22"/>
      <w:lang w:val="es-ES" w:eastAsia="es-MX"/>
      <w14:ligatures w14:val="none"/>
    </w:rPr>
  </w:style>
  <w:style w:type="paragraph" w:styleId="Ttulo1">
    <w:name w:val="heading 1"/>
    <w:basedOn w:val="Normal"/>
    <w:next w:val="Normal"/>
    <w:link w:val="Ttulo1Car"/>
    <w:uiPriority w:val="9"/>
    <w:qFormat/>
    <w:rsid w:val="00514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4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44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44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44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449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449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449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449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44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44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44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44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44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44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44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44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4491"/>
    <w:rPr>
      <w:rFonts w:eastAsiaTheme="majorEastAsia" w:cstheme="majorBidi"/>
      <w:color w:val="272727" w:themeColor="text1" w:themeTint="D8"/>
    </w:rPr>
  </w:style>
  <w:style w:type="paragraph" w:styleId="Ttulo">
    <w:name w:val="Title"/>
    <w:basedOn w:val="Normal"/>
    <w:next w:val="Normal"/>
    <w:link w:val="TtuloCar"/>
    <w:uiPriority w:val="10"/>
    <w:qFormat/>
    <w:rsid w:val="0051449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44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44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44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4491"/>
    <w:pPr>
      <w:spacing w:before="160"/>
      <w:jc w:val="center"/>
    </w:pPr>
    <w:rPr>
      <w:i/>
      <w:iCs/>
      <w:color w:val="404040" w:themeColor="text1" w:themeTint="BF"/>
    </w:rPr>
  </w:style>
  <w:style w:type="character" w:customStyle="1" w:styleId="CitaCar">
    <w:name w:val="Cita Car"/>
    <w:basedOn w:val="Fuentedeprrafopredeter"/>
    <w:link w:val="Cita"/>
    <w:uiPriority w:val="29"/>
    <w:rsid w:val="00514491"/>
    <w:rPr>
      <w:i/>
      <w:iCs/>
      <w:color w:val="404040" w:themeColor="text1" w:themeTint="BF"/>
    </w:rPr>
  </w:style>
  <w:style w:type="paragraph" w:styleId="Prrafodelista">
    <w:name w:val="List Paragraph"/>
    <w:basedOn w:val="Normal"/>
    <w:uiPriority w:val="34"/>
    <w:qFormat/>
    <w:rsid w:val="00514491"/>
    <w:pPr>
      <w:ind w:left="720"/>
      <w:contextualSpacing/>
    </w:pPr>
  </w:style>
  <w:style w:type="character" w:styleId="nfasisintenso">
    <w:name w:val="Intense Emphasis"/>
    <w:basedOn w:val="Fuentedeprrafopredeter"/>
    <w:uiPriority w:val="21"/>
    <w:qFormat/>
    <w:rsid w:val="00514491"/>
    <w:rPr>
      <w:i/>
      <w:iCs/>
      <w:color w:val="0F4761" w:themeColor="accent1" w:themeShade="BF"/>
    </w:rPr>
  </w:style>
  <w:style w:type="paragraph" w:styleId="Citadestacada">
    <w:name w:val="Intense Quote"/>
    <w:basedOn w:val="Normal"/>
    <w:next w:val="Normal"/>
    <w:link w:val="CitadestacadaCar"/>
    <w:uiPriority w:val="30"/>
    <w:qFormat/>
    <w:rsid w:val="00514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4491"/>
    <w:rPr>
      <w:i/>
      <w:iCs/>
      <w:color w:val="0F4761" w:themeColor="accent1" w:themeShade="BF"/>
    </w:rPr>
  </w:style>
  <w:style w:type="character" w:styleId="Referenciaintensa">
    <w:name w:val="Intense Reference"/>
    <w:basedOn w:val="Fuentedeprrafopredeter"/>
    <w:uiPriority w:val="32"/>
    <w:qFormat/>
    <w:rsid w:val="005144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gob.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4094</Characters>
  <Application>Microsoft Office Word</Application>
  <DocSecurity>0</DocSecurity>
  <Lines>74</Lines>
  <Paragraphs>10</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Fernando Fonseca Soto</dc:creator>
  <cp:keywords/>
  <dc:description/>
  <cp:lastModifiedBy>Nelson Fernando Fonseca Soto</cp:lastModifiedBy>
  <cp:revision>2</cp:revision>
  <dcterms:created xsi:type="dcterms:W3CDTF">2026-03-11T22:07:00Z</dcterms:created>
  <dcterms:modified xsi:type="dcterms:W3CDTF">2026-03-11T22:08:00Z</dcterms:modified>
</cp:coreProperties>
</file>